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A8" w:rsidRDefault="00E566A8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85439A" w:rsidRDefault="00E566A8" w:rsidP="006343C7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Î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ncep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nd cu data de 01.04.2018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DGASPC D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mbovi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a implementeaz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proiectul </w:t>
      </w:r>
      <w:r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785710- ASSIST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„Alternative for Social Support Inspiring Transformation”</w:t>
      </w:r>
      <w:r w:rsidR="006343C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 calitate de partener ală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turi de DGASPC Arge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- solicitant, de DGASPC V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lcea </w:t>
      </w:r>
      <w:r w:rsidR="006343C7"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i ONG -ul Media One.</w:t>
      </w:r>
    </w:p>
    <w:p w:rsidR="0085439A" w:rsidRPr="006343C7" w:rsidRDefault="006343C7" w:rsidP="006343C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Proiectul se desf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oar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din cadrul programelor anuale finan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ate de Comisia Europeana - programul Drepturi, Egalitate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Cet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enie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va avea drept scop consolidarea capacit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 profesioni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tilor din cadrul DGASPC - urilor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ce prive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te drepturile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protec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ia copiilor/tinerilor care urmeaz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seasc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sistemul de protec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ie, iar activit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ile principale vor consta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schimburi de bune practici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ri UE cu experien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ceea ce prive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 integrarea socio-profesional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copiilor/tinerilor din sistemul de protec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ie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specială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elaborarea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implementarea de noi metode de lucru privind integrarea socio-profesional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copiilor/tinerilor din sistemul de protec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ie, precum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diseminarea metodelor respective. </w:t>
      </w:r>
    </w:p>
    <w:p w:rsidR="0085439A" w:rsidRPr="006343C7" w:rsidRDefault="006343C7" w:rsidP="006343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E566A8">
        <w:rPr>
          <w:rFonts w:ascii="Times New Roman" w:hAnsi="Times New Roman" w:cs="Times New Roman"/>
          <w:b/>
          <w:sz w:val="24"/>
          <w:szCs w:val="24"/>
          <w:lang w:val="ro-RO"/>
        </w:rPr>
        <w:t>Necesitatea unui asemenea proiect a pornit de la realitatea p</w:t>
      </w:r>
      <w:proofErr w:type="spellStart"/>
      <w:r w:rsidR="00E566A8">
        <w:rPr>
          <w:rFonts w:ascii="Times New Roman" w:hAnsi="Times New Roman" w:cs="Times New Roman"/>
          <w:b/>
          <w:sz w:val="24"/>
          <w:szCs w:val="24"/>
        </w:rPr>
        <w:t>olitic</w:t>
      </w:r>
      <w:proofErr w:type="spellEnd"/>
      <w:r w:rsidR="00E566A8">
        <w:rPr>
          <w:rFonts w:ascii="Times New Roman" w:hAnsi="Times New Roman" w:cs="Times New Roman"/>
          <w:b/>
          <w:sz w:val="24"/>
          <w:szCs w:val="24"/>
          <w:lang w:val="ro-RO"/>
        </w:rPr>
        <w:t>ilor</w:t>
      </w:r>
      <w:r w:rsidR="00E56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E56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b/>
          <w:sz w:val="24"/>
          <w:szCs w:val="24"/>
        </w:rPr>
        <w:t>protecția</w:t>
      </w:r>
      <w:proofErr w:type="spellEnd"/>
      <w:r w:rsidR="00E566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politicile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recunosc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familial,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favorizând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acordând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îngrijirii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substituție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rezidențială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susținând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neguvernamental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politicile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>.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2014-2020 </w:t>
      </w:r>
      <w:proofErr w:type="spellStart"/>
      <w:proofErr w:type="gramStart"/>
      <w:r w:rsidR="00E566A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coordoneze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>.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priorități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politicile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menite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66A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E566A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18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>".</w:t>
      </w:r>
    </w:p>
    <w:p w:rsidR="0085439A" w:rsidRDefault="00D30CB1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separați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plasați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la o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="00E566A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rezidențial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câteva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direcții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>: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diversificarea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direcționarea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profesioniștilor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părăsi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organizațiilor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neguvernamentale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care pot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juca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66A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inovației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bunelor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Eșecurile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2"/>
      <w:bookmarkStart w:id="1" w:name="OLE_LINK11"/>
      <w:proofErr w:type="spellStart"/>
      <w:r w:rsidR="00E566A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părăsit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plasament</w:t>
      </w:r>
      <w:bookmarkEnd w:id="0"/>
      <w:bookmarkEnd w:id="1"/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de-a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lungul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anilor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preocupare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necesar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E566A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reglementeze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diversificarea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rezidențial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alternative de tip familial -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asistenți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maternali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) au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elaborate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(PO), cum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fi: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instituționalizați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cotidiană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recreere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acuzațiilor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439A" w:rsidRDefault="00E566A8" w:rsidP="006343C7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diminua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eșecurile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părăsit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plasament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din UE,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faciliteze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părăsesc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66A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E566A8">
        <w:rPr>
          <w:rFonts w:ascii="Times New Roman" w:hAnsi="Times New Roman" w:cs="Times New Roman"/>
          <w:sz w:val="24"/>
          <w:szCs w:val="24"/>
        </w:rPr>
        <w:t>.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Proiectul va avea o durata de </w:t>
      </w:r>
      <w:r w:rsidR="00E566A8">
        <w:rPr>
          <w:rFonts w:ascii="Times New Roman" w:hAnsi="Times New Roman" w:cs="Times New Roman"/>
          <w:b/>
          <w:iCs/>
          <w:sz w:val="24"/>
          <w:szCs w:val="24"/>
          <w:lang w:val="ro-RO"/>
        </w:rPr>
        <w:t>24 luni.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</w:t>
      </w:r>
    </w:p>
    <w:p w:rsidR="0085439A" w:rsidRDefault="00E71190" w:rsidP="006343C7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DGASPC D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â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mbovi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se angajeaz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ndeplineasc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urm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toarele roluri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E566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sarcini:</w:t>
      </w:r>
    </w:p>
    <w:p w:rsidR="0085439A" w:rsidRDefault="00E566A8" w:rsidP="006343C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- schimb de bune practic î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n domeniul protec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iei copilului;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- identificarea institu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iilor 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 organiza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iilor din 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ri UE cu expertiz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 rezultate socio-profesionale de integrare a copiilor/tinerilor care p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sesc sistemul de protec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ie;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elaborarea unor studii comparative pentru identificarea celor mai bune practici;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elaborarea 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 implementarea de noi practici de munc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socio-profesionale pentru integrarea copiilor/tinerilor care p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sesc sistemul de protec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ie social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dezvoltarea pe baza studiului comparativ a manualului de proceduri socio-profesionale;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organizarea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 desf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urarea de sesiuni de instruire de special</w:t>
      </w:r>
      <w:r w:rsidR="003272E5">
        <w:rPr>
          <w:rFonts w:ascii="Times New Roman" w:hAnsi="Times New Roman" w:cs="Times New Roman"/>
          <w:b/>
          <w:i/>
          <w:sz w:val="24"/>
          <w:szCs w:val="24"/>
          <w:lang w:val="ro-RO"/>
        </w:rPr>
        <w:t>iș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ti DGASPC privind noile proceduri de lucru;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ncheierea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 implementarea protocoalelor de colaborare cu actorii locali cu rol important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n integrarea socio-profesional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 copiilor/tinerilor care p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sesc sistemul de protec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ie s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pecială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;</w:t>
      </w:r>
    </w:p>
    <w:p w:rsidR="0085439A" w:rsidRDefault="00E566A8" w:rsidP="006343C7">
      <w:pPr>
        <w:spacing w:line="360" w:lineRule="auto"/>
        <w:ind w:left="848" w:hangingChars="352" w:hanging="84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- organizarea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 efectuarea de seminarii na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ionale pentru 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mp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rt</w:t>
      </w:r>
      <w:r w:rsidR="0043261F">
        <w:rPr>
          <w:rFonts w:ascii="Times New Roman" w:hAnsi="Times New Roman" w:cs="Times New Roman"/>
          <w:b/>
          <w:i/>
          <w:sz w:val="24"/>
          <w:szCs w:val="24"/>
          <w:lang w:val="ro-RO"/>
        </w:rPr>
        <w:t>ăș</w:t>
      </w:r>
      <w:bookmarkStart w:id="2" w:name="_GoBack"/>
      <w:bookmarkEnd w:id="2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irea noilor proceduri de lucru.</w:t>
      </w:r>
    </w:p>
    <w:p w:rsidR="0085439A" w:rsidRDefault="0085439A" w:rsidP="00634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39A" w:rsidSect="00E71190">
      <w:pgSz w:w="11906" w:h="16838"/>
      <w:pgMar w:top="1440" w:right="56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-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C2A"/>
    <w:multiLevelType w:val="multilevel"/>
    <w:tmpl w:val="3F3C1C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B070A"/>
    <w:multiLevelType w:val="multilevel"/>
    <w:tmpl w:val="441B07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1DD0"/>
    <w:rsid w:val="003272E5"/>
    <w:rsid w:val="0043261F"/>
    <w:rsid w:val="006343C7"/>
    <w:rsid w:val="0068416C"/>
    <w:rsid w:val="0085439A"/>
    <w:rsid w:val="00D30CB1"/>
    <w:rsid w:val="00E566A8"/>
    <w:rsid w:val="00E71190"/>
    <w:rsid w:val="6E1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-Roman-R" w:hAnsi="Times-Roman-R"/>
      <w:color w:val="000000"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GOS2">
    <w:name w:val="DRAGOS 2"/>
    <w:basedOn w:val="Normal"/>
    <w:pPr>
      <w:spacing w:before="120" w:after="0" w:line="288" w:lineRule="auto"/>
    </w:pPr>
    <w:rPr>
      <w:rFonts w:ascii="Verdana" w:eastAsia="SimSun" w:hAnsi="Verdana"/>
      <w:i/>
      <w:iCs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-Roman-R" w:hAnsi="Times-Roman-R"/>
      <w:color w:val="000000"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GOS2">
    <w:name w:val="DRAGOS 2"/>
    <w:basedOn w:val="Normal"/>
    <w:pPr>
      <w:spacing w:before="120" w:after="0" w:line="288" w:lineRule="auto"/>
    </w:pPr>
    <w:rPr>
      <w:rFonts w:ascii="Verdana" w:eastAsia="SimSun" w:hAnsi="Verdana"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829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Incepand cu data de 01.04.2018 DGASPC Dambovita implementeaza proiectul 785710- ASSIST - „Alternative for Social Support Inspiring Transformation” in calitate de partener alaturi de DGASPC Arges - solicitant, de DGASPC Valcea si ONG -ul Media One.</vt:lpstr>
    </vt:vector>
  </TitlesOfParts>
  <Company>Hewlett-Packard Company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Incepand cu data de 01.04.2018 DGASPC Dambovita implementeaza proiectul 785710- ASSIST - „Alternative for Social Support Inspiring Transformation” in calitate de partener alaturi de DGASPC Arges - solicitant, de DGASPC Valcea si ONG -ul Media One.</dc:title>
  <dc:creator>Jeni Oproiu</dc:creator>
  <cp:lastModifiedBy>hp2310</cp:lastModifiedBy>
  <cp:revision>8</cp:revision>
  <dcterms:created xsi:type="dcterms:W3CDTF">2018-06-04T09:17:00Z</dcterms:created>
  <dcterms:modified xsi:type="dcterms:W3CDTF">2018-06-04T09:49:00Z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2057-10.2.0.6051</vt:lpwstr>
  </property>
</Properties>
</file>